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7B" w:rsidRDefault="00BC1C7B" w:rsidP="00BC1C7B"/>
    <w:p w:rsidR="00BC1C7B" w:rsidRDefault="00BC1C7B" w:rsidP="00BC1C7B"/>
    <w:p w:rsidR="00BC1C7B" w:rsidRDefault="00BC1C7B" w:rsidP="00BC1C7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265AD">
        <w:rPr>
          <w:rFonts w:ascii="Times New Roman" w:hAnsi="Times New Roman"/>
          <w:color w:val="000000"/>
          <w:sz w:val="32"/>
          <w:szCs w:val="28"/>
        </w:rPr>
        <w:t>TWINNING AZERBAIJAN</w:t>
      </w:r>
    </w:p>
    <w:p w:rsidR="00BC1C7B" w:rsidRPr="00E95130" w:rsidRDefault="00BC1C7B" w:rsidP="00BC1C7B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C1C7B" w:rsidRDefault="00BC1C7B" w:rsidP="00BC1C7B">
      <w:pPr>
        <w:jc w:val="center"/>
        <w:rPr>
          <w:rFonts w:ascii="Times New Roman" w:hAnsi="Times New Roman"/>
          <w:bCs/>
          <w:color w:val="000000"/>
          <w:sz w:val="32"/>
          <w:szCs w:val="28"/>
        </w:rPr>
      </w:pPr>
    </w:p>
    <w:p w:rsidR="00BC1C7B" w:rsidRDefault="00BC1C7B" w:rsidP="00BC1C7B">
      <w:pPr>
        <w:jc w:val="center"/>
        <w:rPr>
          <w:rFonts w:ascii="Times New Roman" w:hAnsi="Times New Roman"/>
          <w:bCs/>
          <w:color w:val="000000"/>
          <w:sz w:val="36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36"/>
          <w:szCs w:val="28"/>
        </w:rPr>
        <w:t>Support to the Ministry of Education of the Republic of Azerbaijan for Further Adherence of the Higher Education System to the European Higher Education Area (AZ-ad-EHEA)</w:t>
      </w:r>
    </w:p>
    <w:p w:rsidR="00BC1C7B" w:rsidRPr="00E95130" w:rsidRDefault="00BC1C7B" w:rsidP="00BC1C7B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C1C7B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AZ/14/ENP/OT/31</w:t>
      </w: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Default="00BC1C7B" w:rsidP="00BC1C7B">
      <w:pPr>
        <w:rPr>
          <w:rFonts w:ascii="Times New Roman" w:hAnsi="Times New Roman"/>
          <w:color w:val="000000"/>
          <w:sz w:val="28"/>
          <w:szCs w:val="28"/>
        </w:rPr>
      </w:pPr>
    </w:p>
    <w:p w:rsidR="00BC1C7B" w:rsidRPr="00E95130" w:rsidRDefault="00BC1C7B" w:rsidP="00BC1C7B">
      <w:pPr>
        <w:rPr>
          <w:rFonts w:ascii="Times New Roman" w:hAnsi="Times New Roman"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</w:rPr>
        <w:t xml:space="preserve">EU Short Term Expert Mission Report  </w:t>
      </w: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E95130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940FAC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 w:rsidRPr="00940FA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1.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940FA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Basic Information </w:t>
      </w: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Component and Activity: </w:t>
      </w:r>
    </w:p>
    <w:p w:rsidR="00BC1C7B" w:rsidRDefault="00BC1C7B" w:rsidP="00BC1C7B">
      <w:pPr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Component</w:t>
      </w:r>
      <w:r w:rsidRPr="00927730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4. Standards and Guidelines for QA in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HE</w:t>
      </w:r>
      <w:proofErr w:type="gramEnd"/>
    </w:p>
    <w:p w:rsidR="00BC1C7B" w:rsidRDefault="00BC1C7B" w:rsidP="00BC1C7B">
      <w:pPr>
        <w:rPr>
          <w:rFonts w:ascii="Times New Roman" w:hAnsi="Times New Roman"/>
          <w:bCs/>
          <w:color w:val="000000"/>
          <w:sz w:val="28"/>
          <w:szCs w:val="28"/>
          <w:lang w:val="en-US"/>
        </w:rPr>
      </w:pPr>
    </w:p>
    <w:p w:rsidR="00BC1C7B" w:rsidRDefault="00BC1C7B" w:rsidP="00BC1C7B">
      <w:pPr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Activity: 4.3 Standards and Guidelines for Quality Assurance in Azerbaijan</w:t>
      </w:r>
    </w:p>
    <w:p w:rsidR="00BC1C7B" w:rsidRPr="00927730" w:rsidRDefault="00BC1C7B" w:rsidP="00BC1C7B">
      <w:pPr>
        <w:rPr>
          <w:rFonts w:ascii="Times New Roman" w:hAnsi="Times New Roman"/>
          <w:bCs/>
          <w:color w:val="000000"/>
          <w:sz w:val="28"/>
          <w:szCs w:val="28"/>
          <w:lang w:val="en-US"/>
        </w:rPr>
      </w:pPr>
    </w:p>
    <w:p w:rsidR="00BC1C7B" w:rsidRPr="00927730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Name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of the Expert: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Ms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Helka Kekäläinen</w:t>
      </w:r>
      <w:r w:rsidR="006E6B5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and </w:t>
      </w:r>
      <w:proofErr w:type="spellStart"/>
      <w:r w:rsidR="006E6B5B">
        <w:rPr>
          <w:rFonts w:ascii="Times New Roman" w:hAnsi="Times New Roman"/>
          <w:bCs/>
          <w:color w:val="000000"/>
          <w:sz w:val="28"/>
          <w:szCs w:val="28"/>
          <w:lang w:val="en-US"/>
        </w:rPr>
        <w:t>Ms</w:t>
      </w:r>
      <w:proofErr w:type="spellEnd"/>
      <w:r w:rsidR="006E6B5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Heli Mattisen</w:t>
      </w:r>
    </w:p>
    <w:p w:rsidR="00BC1C7B" w:rsidRPr="00E95130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BC1C7B" w:rsidRPr="00927730" w:rsidRDefault="00BC1C7B" w:rsidP="00AE7E96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Dates of the Mission: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E50574" w:rsidRPr="00E50574">
        <w:rPr>
          <w:rFonts w:ascii="Times New Roman" w:hAnsi="Times New Roman"/>
          <w:bCs/>
          <w:color w:val="000000"/>
          <w:sz w:val="28"/>
          <w:szCs w:val="28"/>
          <w:lang w:val="en-US"/>
        </w:rPr>
        <w:t>(31.8.)</w:t>
      </w:r>
      <w:r w:rsidR="00E5057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AE7E96">
        <w:rPr>
          <w:rFonts w:ascii="Times New Roman" w:hAnsi="Times New Roman"/>
          <w:bCs/>
          <w:color w:val="000000"/>
          <w:sz w:val="28"/>
          <w:szCs w:val="28"/>
          <w:lang w:val="en-US"/>
        </w:rPr>
        <w:t>1-2 September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2016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BC1C7B" w:rsidRPr="00E95130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BC1C7B" w:rsidRPr="00B81AE8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Contractor: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Finnish Education Evaluation Centre (FINEEC) / </w:t>
      </w:r>
    </w:p>
    <w:p w:rsidR="00BC1C7B" w:rsidRPr="00927730" w:rsidRDefault="00BC1C7B" w:rsidP="00BC1C7B">
      <w:pPr>
        <w:ind w:left="1304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  Estonian Quality Agency for Higher and Vocational Education (EKKA)</w:t>
      </w:r>
    </w:p>
    <w:p w:rsidR="00BC1C7B" w:rsidRDefault="00BC1C7B" w:rsidP="00BC1C7B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lastRenderedPageBreak/>
        <w:t>2.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Relevant Background Information/State of Affairs </w:t>
      </w:r>
    </w:p>
    <w:p w:rsidR="00BC1C7B" w:rsidRPr="00940FAC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15819" w:rsidRDefault="00B15819" w:rsidP="00B15819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 w:rsidRPr="00DF379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In order to create the Azerbaijani understanding of the </w:t>
      </w:r>
      <w:r w:rsidR="001D13B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European Standards and Guidelines for quality assurance in higher education, </w:t>
      </w:r>
      <w:r w:rsidRPr="00DF3793">
        <w:rPr>
          <w:rFonts w:ascii="Times New Roman" w:hAnsi="Times New Roman"/>
          <w:bCs/>
          <w:color w:val="000000"/>
          <w:sz w:val="24"/>
          <w:szCs w:val="28"/>
          <w:lang w:val="en-US"/>
        </w:rPr>
        <w:t>ESG the Twinning project and the Azerbaijani Ministry of Education invited a dr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afting group to work on a concrete proposal for the Standards and Guidelines for Quality Assurance in Azerbaijan (</w:t>
      </w:r>
      <w:proofErr w:type="spell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AzSG</w:t>
      </w:r>
      <w:proofErr w:type="spellEnd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) in April 2016. The drafting group consists</w:t>
      </w:r>
      <w:r w:rsidRPr="00DF379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of stakeholders from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Pr="00DF3793">
        <w:rPr>
          <w:rFonts w:ascii="Times New Roman" w:hAnsi="Times New Roman"/>
          <w:bCs/>
          <w:color w:val="000000"/>
          <w:sz w:val="24"/>
          <w:szCs w:val="28"/>
          <w:lang w:val="en-US"/>
        </w:rPr>
        <w:t>Azerbaijani universities, representatives from the Ministry of Education, students and experts from Finland and Estonia.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Also the representatives of the newly founded Accreditation and </w:t>
      </w:r>
      <w:proofErr w:type="spell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Nostrification</w:t>
      </w:r>
      <w:proofErr w:type="spellEnd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Office, ANO joined the 3-day drafting seminar that was held in </w:t>
      </w:r>
      <w:proofErr w:type="spell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Quba</w:t>
      </w:r>
      <w:proofErr w:type="spellEnd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in May 2016.  </w:t>
      </w:r>
      <w:r w:rsidR="004A5687">
        <w:rPr>
          <w:rFonts w:ascii="Times New Roman" w:hAnsi="Times New Roman"/>
          <w:bCs/>
          <w:color w:val="000000"/>
          <w:sz w:val="24"/>
          <w:szCs w:val="28"/>
          <w:lang w:val="en-US"/>
        </w:rPr>
        <w:t>The seminar was successful and resulted in first draft of Standards and Guidelines for Quality Assurance of Higher Education in Azerbaijan – Manual for Pilot Evaluations.</w:t>
      </w:r>
      <w:r w:rsidR="004A5687" w:rsidRPr="004A5687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1D13B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During the summer, ANO had drafted their own version of Accreditation standards for higher education institutions. </w:t>
      </w:r>
    </w:p>
    <w:p w:rsidR="00BC1C7B" w:rsidRPr="00940FAC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3.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Objectives and Tasks of the Mission </w:t>
      </w:r>
    </w:p>
    <w:p w:rsidR="00BC1C7B" w:rsidRPr="00940FAC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Pr="00940FAC" w:rsidRDefault="006E6B5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The task of the mission was to finalize the Standards and Guidelines for Quality Assurance of Higher Education in Azerbaijan – Manual for Pilot Evaluations document in collaboration with the </w:t>
      </w:r>
      <w:proofErr w:type="spellStart"/>
      <w:r w:rsidR="001D13BA">
        <w:rPr>
          <w:rFonts w:ascii="Times New Roman" w:hAnsi="Times New Roman"/>
          <w:bCs/>
          <w:color w:val="000000"/>
          <w:sz w:val="24"/>
          <w:szCs w:val="28"/>
          <w:lang w:val="en-US"/>
        </w:rPr>
        <w:t>Quba</w:t>
      </w:r>
      <w:proofErr w:type="spellEnd"/>
      <w:r w:rsidR="001D13B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B15819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drafting group and the representatives of the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Accreditation and </w:t>
      </w:r>
      <w:proofErr w:type="spell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Nostrification</w:t>
      </w:r>
      <w:proofErr w:type="spellEnd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Office, </w:t>
      </w:r>
      <w:r w:rsidR="0079515A">
        <w:rPr>
          <w:rFonts w:ascii="Times New Roman" w:hAnsi="Times New Roman"/>
          <w:bCs/>
          <w:color w:val="000000"/>
          <w:sz w:val="24"/>
          <w:szCs w:val="28"/>
          <w:lang w:val="en-US"/>
        </w:rPr>
        <w:t>ANO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.</w:t>
      </w:r>
      <w:r w:rsidR="001D13B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The working method was to compare the two standards and look for solution that would serve both the Twinning project objectives and ANO’s interest in testing the</w:t>
      </w:r>
      <w:r w:rsidR="00422CBF">
        <w:rPr>
          <w:rFonts w:ascii="Times New Roman" w:hAnsi="Times New Roman"/>
          <w:bCs/>
          <w:color w:val="000000"/>
          <w:sz w:val="24"/>
          <w:szCs w:val="28"/>
          <w:lang w:val="en-US"/>
        </w:rPr>
        <w:t>ir</w:t>
      </w:r>
      <w:r w:rsidR="001D13B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standards</w:t>
      </w:r>
      <w:r w:rsidR="00422CBF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with international experts</w:t>
      </w:r>
      <w:r w:rsidR="001D13BA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.  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 </w:t>
      </w:r>
    </w:p>
    <w:p w:rsidR="00BC1C7B" w:rsidRPr="00940FAC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4.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Time Schedule of the Mission</w:t>
      </w: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574"/>
      </w:tblGrid>
      <w:tr w:rsidR="00BC1C7B" w:rsidTr="00FD5BE0">
        <w:tc>
          <w:tcPr>
            <w:tcW w:w="1696" w:type="dxa"/>
          </w:tcPr>
          <w:p w:rsidR="00BC1C7B" w:rsidRPr="00940FAC" w:rsidRDefault="00BC1C7B" w:rsidP="00FD5B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  <w:t>Date</w:t>
            </w:r>
          </w:p>
        </w:tc>
        <w:tc>
          <w:tcPr>
            <w:tcW w:w="5245" w:type="dxa"/>
          </w:tcPr>
          <w:p w:rsidR="00BC1C7B" w:rsidRDefault="00BC1C7B" w:rsidP="00FD5B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  <w:t>Activities/Meetings</w:t>
            </w:r>
          </w:p>
          <w:p w:rsidR="00BC1C7B" w:rsidRDefault="00BC1C7B" w:rsidP="00FD5B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BC experts met </w:t>
            </w:r>
          </w:p>
          <w:p w:rsidR="00BC1C7B" w:rsidRPr="00940FAC" w:rsidRDefault="00BC1C7B" w:rsidP="00FD5B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(title and institution)</w:t>
            </w:r>
          </w:p>
        </w:tc>
        <w:tc>
          <w:tcPr>
            <w:tcW w:w="2574" w:type="dxa"/>
          </w:tcPr>
          <w:p w:rsidR="00BC1C7B" w:rsidRPr="00940FAC" w:rsidRDefault="00BC1C7B" w:rsidP="00FD5B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  <w:t>Remarks</w:t>
            </w:r>
          </w:p>
        </w:tc>
      </w:tr>
      <w:tr w:rsidR="00BC1C7B" w:rsidRPr="00C71C7B" w:rsidTr="00FD5BE0">
        <w:tc>
          <w:tcPr>
            <w:tcW w:w="1696" w:type="dxa"/>
          </w:tcPr>
          <w:p w:rsidR="00BC1C7B" w:rsidRPr="00940FAC" w:rsidRDefault="0079515A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31.8.2016</w:t>
            </w:r>
          </w:p>
        </w:tc>
        <w:tc>
          <w:tcPr>
            <w:tcW w:w="5245" w:type="dxa"/>
          </w:tcPr>
          <w:p w:rsidR="0079515A" w:rsidRPr="007645FD" w:rsidRDefault="0079515A" w:rsidP="0079515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45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Meeting with ANO and the drafting group:</w:t>
            </w:r>
          </w:p>
          <w:p w:rsidR="0079515A" w:rsidRPr="007645FD" w:rsidRDefault="0079515A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Ms. Elmira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Ismayilova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Baku State University</w:t>
            </w:r>
          </w:p>
          <w:p w:rsidR="0079515A" w:rsidRPr="007645FD" w:rsidRDefault="0079515A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Ruslan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Mammadov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Ganja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State University</w:t>
            </w:r>
          </w:p>
          <w:p w:rsidR="0079515A" w:rsidRPr="007645FD" w:rsidRDefault="0079515A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Mr. 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Anar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Naghiyev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Azerbaijan University of Languages</w:t>
            </w:r>
          </w:p>
          <w:p w:rsidR="0079515A" w:rsidRPr="007645FD" w:rsidRDefault="0079515A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Tofig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Ahmadov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Ministry of Education</w:t>
            </w:r>
          </w:p>
          <w:p w:rsidR="0079515A" w:rsidRDefault="0079515A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Ragif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Gasimov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Azerbaijan State University of Economics</w:t>
            </w:r>
          </w:p>
          <w:p w:rsidR="006567C9" w:rsidRDefault="006567C9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Mr. Samir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Valiev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ANO</w:t>
            </w:r>
          </w:p>
          <w:p w:rsidR="006567C9" w:rsidRPr="006567C9" w:rsidRDefault="006567C9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t-EE"/>
              </w:rPr>
            </w:pPr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Elshan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Nuriyev</w:t>
            </w:r>
            <w:proofErr w:type="spellEnd"/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Ministry of Education</w:t>
            </w:r>
            <w:r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t-EE"/>
              </w:rPr>
              <w:t>, ANO</w:t>
            </w:r>
          </w:p>
          <w:p w:rsidR="0079515A" w:rsidRDefault="006567C9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Ms. Elmira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Manafova</w:t>
            </w:r>
            <w:proofErr w:type="spellEnd"/>
            <w:r w:rsidR="0079515A"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Ministry of Education</w:t>
            </w:r>
            <w:r w:rsidR="0079515A" w:rsidRPr="007645FD">
              <w:rPr>
                <w:rFonts w:ascii="Times New Roman" w:hAnsi="Times New Roman"/>
                <w:bCs/>
                <w:color w:val="000000"/>
                <w:sz w:val="24"/>
                <w:szCs w:val="24"/>
                <w:lang w:val="et-EE"/>
              </w:rPr>
              <w:t>, ANO</w:t>
            </w:r>
          </w:p>
          <w:p w:rsidR="006567C9" w:rsidRPr="006567C9" w:rsidRDefault="006567C9" w:rsidP="0079515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t-EE"/>
              </w:rPr>
              <w:t xml:space="preserve">Ms. Konul Fatieva, ANO  </w:t>
            </w:r>
          </w:p>
          <w:p w:rsidR="00BC1C7B" w:rsidRPr="00DC551D" w:rsidRDefault="00DC551D" w:rsidP="00FD5BE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fi-FI"/>
              </w:rPr>
            </w:pPr>
            <w:r w:rsidRPr="00DC551D">
              <w:rPr>
                <w:rFonts w:ascii="Times New Roman" w:hAnsi="Times New Roman"/>
                <w:bCs/>
                <w:color w:val="000000"/>
                <w:sz w:val="24"/>
                <w:szCs w:val="28"/>
                <w:lang w:val="fi-FI"/>
              </w:rPr>
              <w:t xml:space="preserve">RTA Reijo Aholainen, Language </w:t>
            </w:r>
            <w:proofErr w:type="spellStart"/>
            <w:r w:rsidRPr="00DC551D">
              <w:rPr>
                <w:rFonts w:ascii="Times New Roman" w:hAnsi="Times New Roman"/>
                <w:bCs/>
                <w:color w:val="000000"/>
                <w:sz w:val="24"/>
                <w:szCs w:val="28"/>
                <w:lang w:val="fi-FI"/>
              </w:rPr>
              <w:t>assistant</w:t>
            </w:r>
            <w:proofErr w:type="spellEnd"/>
            <w:r w:rsidRPr="00DC551D">
              <w:rPr>
                <w:rFonts w:ascii="Times New Roman" w:hAnsi="Times New Roman"/>
                <w:bCs/>
                <w:color w:val="000000"/>
                <w:sz w:val="24"/>
                <w:szCs w:val="28"/>
                <w:lang w:val="fi-FI"/>
              </w:rPr>
              <w:t xml:space="preserve"> Tarlan Arzumanov</w:t>
            </w:r>
          </w:p>
        </w:tc>
        <w:tc>
          <w:tcPr>
            <w:tcW w:w="2574" w:type="dxa"/>
          </w:tcPr>
          <w:p w:rsidR="00BC1C7B" w:rsidRPr="00DC551D" w:rsidRDefault="00BC1C7B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fi-FI"/>
              </w:rPr>
            </w:pPr>
          </w:p>
        </w:tc>
      </w:tr>
      <w:tr w:rsidR="00BC1C7B" w:rsidTr="00FD5BE0">
        <w:tc>
          <w:tcPr>
            <w:tcW w:w="1696" w:type="dxa"/>
          </w:tcPr>
          <w:p w:rsidR="00BC1C7B" w:rsidRPr="00940FAC" w:rsidRDefault="0079515A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1.9.2016</w:t>
            </w:r>
          </w:p>
        </w:tc>
        <w:tc>
          <w:tcPr>
            <w:tcW w:w="5245" w:type="dxa"/>
          </w:tcPr>
          <w:p w:rsidR="00BC1C7B" w:rsidRDefault="00DC551D" w:rsidP="00FD5BE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  <w:t xml:space="preserve">Meeting with </w:t>
            </w:r>
            <w:proofErr w:type="spellStart"/>
            <w:r w:rsidRPr="00DC551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  <w:t>MoE</w:t>
            </w:r>
            <w:proofErr w:type="spellEnd"/>
            <w:r w:rsidRPr="00DC551D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en-US"/>
              </w:rPr>
              <w:t xml:space="preserve"> high level representatives:</w:t>
            </w:r>
          </w:p>
          <w:p w:rsidR="00E50574" w:rsidRPr="00E50574" w:rsidRDefault="00E50574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Mr. Emin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Amurullayev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, Mr.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Sulhaddin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Gozelov</w:t>
            </w:r>
            <w:proofErr w:type="spellEnd"/>
            <w:r w:rsidR="00C71C7B"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, Mr. </w:t>
            </w:r>
            <w:proofErr w:type="spellStart"/>
            <w:r w:rsidR="00C71C7B"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Tofig</w:t>
            </w:r>
            <w:proofErr w:type="spellEnd"/>
            <w:r w:rsidR="00C71C7B"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71C7B"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Ahmadov</w:t>
            </w:r>
            <w:proofErr w:type="spellEnd"/>
            <w:r w:rsidR="00C71C7B"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, Ms. Vusala </w:t>
            </w:r>
            <w:proofErr w:type="spellStart"/>
            <w:r w:rsidR="00C71C7B"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Gurbanova</w:t>
            </w:r>
            <w:proofErr w:type="spellEnd"/>
          </w:p>
          <w:p w:rsidR="00DC551D" w:rsidRPr="00940FAC" w:rsidRDefault="00DC551D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2574" w:type="dxa"/>
          </w:tcPr>
          <w:p w:rsidR="00BC1C7B" w:rsidRPr="00940FAC" w:rsidRDefault="00BC1C7B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</w:tr>
      <w:tr w:rsidR="00BC1C7B" w:rsidTr="00FD5BE0">
        <w:tc>
          <w:tcPr>
            <w:tcW w:w="1696" w:type="dxa"/>
          </w:tcPr>
          <w:p w:rsidR="00BC1C7B" w:rsidRPr="00940FAC" w:rsidRDefault="0079515A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2.9.2016</w:t>
            </w:r>
          </w:p>
        </w:tc>
        <w:tc>
          <w:tcPr>
            <w:tcW w:w="5245" w:type="dxa"/>
          </w:tcPr>
          <w:p w:rsidR="00BC1C7B" w:rsidRPr="00940FAC" w:rsidRDefault="00E50574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>Reporting</w:t>
            </w:r>
            <w:r w:rsidR="00C71C7B"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  <w:t xml:space="preserve"> and finalizing the draft</w:t>
            </w:r>
          </w:p>
        </w:tc>
        <w:tc>
          <w:tcPr>
            <w:tcW w:w="2574" w:type="dxa"/>
          </w:tcPr>
          <w:p w:rsidR="00BC1C7B" w:rsidRPr="00940FAC" w:rsidRDefault="00BC1C7B" w:rsidP="00FD5BE0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val="en-US"/>
              </w:rPr>
            </w:pPr>
          </w:p>
        </w:tc>
      </w:tr>
    </w:tbl>
    <w:p w:rsidR="00BC1C7B" w:rsidRPr="00E95130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Pr="00E95130" w:rsidRDefault="00BC1C7B" w:rsidP="00BC1C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5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Achievement of the Expected Results</w:t>
      </w:r>
    </w:p>
    <w:p w:rsidR="00BC1C7B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Default="00954D79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The STEs finalized the draft of the Manual for Pilot Evaluation</w:t>
      </w:r>
      <w:r w:rsidR="00C501F3">
        <w:rPr>
          <w:rFonts w:ascii="Times New Roman" w:hAnsi="Times New Roman"/>
          <w:bCs/>
          <w:color w:val="000000"/>
          <w:sz w:val="24"/>
          <w:szCs w:val="28"/>
          <w:lang w:val="en-US"/>
        </w:rPr>
        <w:t>s after the discussions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with the </w:t>
      </w:r>
      <w:proofErr w:type="spell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Quba</w:t>
      </w:r>
      <w:proofErr w:type="spellEnd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drafting group and ANO. The result </w:t>
      </w:r>
      <w:proofErr w:type="gram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will be c</w:t>
      </w:r>
      <w:r w:rsidR="00C501F3">
        <w:rPr>
          <w:rFonts w:ascii="Times New Roman" w:hAnsi="Times New Roman"/>
          <w:bCs/>
          <w:color w:val="000000"/>
          <w:sz w:val="24"/>
          <w:szCs w:val="28"/>
          <w:lang w:val="en-US"/>
        </w:rPr>
        <w:t>irculated</w:t>
      </w:r>
      <w:proofErr w:type="gramEnd"/>
      <w:r w:rsidR="00C501F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among the participant of the drafting and </w:t>
      </w:r>
      <w:proofErr w:type="spellStart"/>
      <w:r w:rsidR="00C501F3">
        <w:rPr>
          <w:rFonts w:ascii="Times New Roman" w:hAnsi="Times New Roman"/>
          <w:bCs/>
          <w:color w:val="000000"/>
          <w:sz w:val="24"/>
          <w:szCs w:val="28"/>
          <w:lang w:val="en-US"/>
        </w:rPr>
        <w:t>MoE</w:t>
      </w:r>
      <w:proofErr w:type="spellEnd"/>
      <w:r w:rsidR="00C501F3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representatives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. </w:t>
      </w:r>
    </w:p>
    <w:p w:rsidR="00C501F3" w:rsidRPr="00940FAC" w:rsidRDefault="00C501F3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6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Unexpected Results</w:t>
      </w:r>
    </w:p>
    <w:p w:rsidR="00BC1C7B" w:rsidRPr="002A323B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Pr="002A323B" w:rsidRDefault="00C501F3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The STEs did not recognize any unexpected results.</w:t>
      </w:r>
    </w:p>
    <w:p w:rsidR="00C501F3" w:rsidRPr="002A323B" w:rsidRDefault="00C501F3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7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Issues Left Open After the Mission </w:t>
      </w:r>
    </w:p>
    <w:p w:rsidR="00BC1C7B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Default="00EF0519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If any changes to the Pilot manual seem necessary after the circulation, the STEs have to deal with that via e-mail.  </w:t>
      </w:r>
    </w:p>
    <w:p w:rsidR="00C501F3" w:rsidRPr="002A323B" w:rsidRDefault="00C501F3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8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Rec</w:t>
      </w:r>
      <w:r w:rsidR="00EF0519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ommendations for Future Mission</w:t>
      </w:r>
    </w:p>
    <w:p w:rsidR="00EF0519" w:rsidRPr="00EF0519" w:rsidRDefault="00EF0519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</w:p>
    <w:p w:rsidR="00BC1C7B" w:rsidRDefault="00422CBF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The next missions of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the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Component 4 will take place in 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>26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.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>-30.9.2016, 10.-14.10.2016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>and 28.11.-2.12.2016. The STEs will support the self-evaluation process in the pilot universities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>(</w:t>
      </w:r>
      <w:r w:rsidRPr="001A7A96">
        <w:rPr>
          <w:rFonts w:ascii="Times New Roman" w:hAnsi="Times New Roman"/>
          <w:bCs/>
          <w:color w:val="000000"/>
          <w:sz w:val="24"/>
          <w:szCs w:val="28"/>
          <w:lang w:val="en-US"/>
        </w:rPr>
        <w:t>Azerbaijan State Pedagogical University, Azerbaijan State University of Economics and Azerbaijan Technical University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>)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. 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>T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he 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Ministry of Education in collaboration with the Twinning office will send an official letter to the pilot institutions to </w:t>
      </w:r>
      <w:r w:rsidR="00954D79">
        <w:rPr>
          <w:rFonts w:ascii="Times New Roman" w:hAnsi="Times New Roman"/>
          <w:bCs/>
          <w:color w:val="000000"/>
          <w:sz w:val="24"/>
          <w:szCs w:val="28"/>
          <w:lang w:val="en-US"/>
        </w:rPr>
        <w:t>remain them of the up-coming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pilot evaluations and to </w:t>
      </w:r>
      <w:r w:rsidR="00954D79"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ask to </w:t>
      </w:r>
      <w:r w:rsidR="003F7922">
        <w:rPr>
          <w:rFonts w:ascii="Times New Roman" w:hAnsi="Times New Roman"/>
          <w:bCs/>
          <w:color w:val="000000"/>
          <w:sz w:val="24"/>
          <w:szCs w:val="28"/>
          <w:lang w:val="en-US"/>
        </w:rPr>
        <w:t>appoint a contact person for the process</w:t>
      </w: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.</w:t>
      </w:r>
    </w:p>
    <w:p w:rsidR="00BC1C7B" w:rsidRPr="002A323B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BC1C7B" w:rsidRPr="00E95130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9. 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 xml:space="preserve">Conclusions and General Remarks Concerning the Project  </w:t>
      </w:r>
    </w:p>
    <w:p w:rsidR="00BC1C7B" w:rsidRPr="002A323B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422CBF" w:rsidRDefault="00422CBF" w:rsidP="00422CBF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Component 4 is labor intensive and some additional missions </w:t>
      </w:r>
      <w:proofErr w:type="gram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might be needed</w:t>
      </w:r>
      <w:proofErr w:type="gramEnd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in order to receive the mandatory results in the best possible way. This </w:t>
      </w:r>
      <w:proofErr w:type="gramStart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>should be kept</w:t>
      </w:r>
      <w:proofErr w:type="gramEnd"/>
      <w:r>
        <w:rPr>
          <w:rFonts w:ascii="Times New Roman" w:hAnsi="Times New Roman"/>
          <w:bCs/>
          <w:color w:val="000000"/>
          <w:sz w:val="24"/>
          <w:szCs w:val="28"/>
          <w:lang w:val="en-US"/>
        </w:rPr>
        <w:t xml:space="preserve"> in mind when the savings are calculated in the project. </w:t>
      </w:r>
    </w:p>
    <w:p w:rsidR="00EF0519" w:rsidRPr="002A323B" w:rsidRDefault="00EF0519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  <w:bookmarkStart w:id="0" w:name="_GoBack"/>
      <w:bookmarkEnd w:id="0"/>
    </w:p>
    <w:p w:rsidR="00BC1C7B" w:rsidRPr="002A323B" w:rsidRDefault="00BC1C7B" w:rsidP="00BC1C7B">
      <w:pPr>
        <w:rPr>
          <w:rFonts w:ascii="Times New Roman" w:hAnsi="Times New Roman"/>
          <w:bCs/>
          <w:color w:val="000000"/>
          <w:sz w:val="24"/>
          <w:szCs w:val="28"/>
          <w:lang w:val="en-US"/>
        </w:rPr>
      </w:pPr>
    </w:p>
    <w:p w:rsidR="00EF0519" w:rsidRDefault="00EF0519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BC1C7B" w:rsidRPr="00E95130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_______________________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  <w:t>_____________________</w:t>
      </w:r>
    </w:p>
    <w:p w:rsidR="00BC1C7B" w:rsidRDefault="00BC1C7B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(Date and place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  <w:t>(Signature of Expert)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</w:p>
    <w:p w:rsidR="00422CBF" w:rsidRDefault="00422CBF" w:rsidP="00BC1C7B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EF0519" w:rsidRDefault="00EF0519" w:rsidP="00422CBF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422CBF" w:rsidRPr="00E95130" w:rsidRDefault="00422CBF" w:rsidP="00422CBF">
      <w:pP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_____________________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  <w:t>_____________________</w:t>
      </w:r>
    </w:p>
    <w:p w:rsidR="00422CBF" w:rsidRPr="006178BC" w:rsidRDefault="00422CBF" w:rsidP="00422CBF">
      <w:pPr>
        <w:rPr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(Date and place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  <w:t>(Signature of Expert)</w:t>
      </w:r>
      <w:r w:rsidRPr="00E9513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ab/>
      </w:r>
    </w:p>
    <w:p w:rsidR="00815EF2" w:rsidRPr="00BC1C7B" w:rsidRDefault="00815EF2">
      <w:pPr>
        <w:rPr>
          <w:lang w:val="en-US"/>
        </w:rPr>
      </w:pPr>
    </w:p>
    <w:sectPr w:rsidR="00815EF2" w:rsidRPr="00BC1C7B" w:rsidSect="006178BC">
      <w:headerReference w:type="default" r:id="rId6"/>
      <w:pgSz w:w="11906" w:h="16838"/>
      <w:pgMar w:top="1417" w:right="1134" w:bottom="1417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50" w:rsidRDefault="00733B50">
      <w:r>
        <w:separator/>
      </w:r>
    </w:p>
  </w:endnote>
  <w:endnote w:type="continuationSeparator" w:id="0">
    <w:p w:rsidR="00733B50" w:rsidRDefault="0073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50" w:rsidRDefault="00733B50">
      <w:r>
        <w:separator/>
      </w:r>
    </w:p>
  </w:footnote>
  <w:footnote w:type="continuationSeparator" w:id="0">
    <w:p w:rsidR="00733B50" w:rsidRDefault="00733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8BC" w:rsidRPr="0067378B" w:rsidRDefault="00BC1C7B" w:rsidP="006178BC">
    <w:pPr>
      <w:pStyle w:val="Otsikko"/>
      <w:spacing w:before="0" w:after="0"/>
      <w:ind w:left="0"/>
      <w:rPr>
        <w:rFonts w:ascii="Times New Roman" w:hAnsi="Times New Roman"/>
        <w:b w:val="0"/>
        <w:color w:val="FF0000"/>
        <w:sz w:val="26"/>
        <w:szCs w:val="26"/>
      </w:rPr>
    </w:pPr>
    <w:r w:rsidRPr="0067378B">
      <w:rPr>
        <w:rFonts w:ascii="Calibri" w:hAnsi="Calibri"/>
        <w:sz w:val="20"/>
        <w:szCs w:val="24"/>
      </w:rPr>
      <w:tab/>
    </w:r>
    <w:r w:rsidRPr="0067378B">
      <w:rPr>
        <w:rFonts w:ascii="Calibri" w:hAnsi="Calibri"/>
        <w:sz w:val="20"/>
        <w:szCs w:val="24"/>
      </w:rPr>
      <w:tab/>
    </w:r>
    <w:r w:rsidRPr="0067378B">
      <w:rPr>
        <w:rFonts w:ascii="Calibri" w:hAnsi="Calibri"/>
        <w:sz w:val="20"/>
        <w:szCs w:val="24"/>
      </w:rPr>
      <w:tab/>
    </w:r>
    <w:r w:rsidRPr="0067378B">
      <w:rPr>
        <w:rFonts w:ascii="Calibri" w:hAnsi="Calibri"/>
        <w:sz w:val="20"/>
        <w:szCs w:val="24"/>
      </w:rPr>
      <w:tab/>
    </w:r>
    <w:r w:rsidRPr="0067378B">
      <w:rPr>
        <w:rFonts w:ascii="Calibri" w:hAnsi="Calibri"/>
        <w:sz w:val="20"/>
        <w:szCs w:val="24"/>
      </w:rPr>
      <w:tab/>
    </w:r>
    <w:r w:rsidRPr="0067378B">
      <w:rPr>
        <w:rFonts w:ascii="Calibri" w:hAnsi="Calibri"/>
        <w:sz w:val="20"/>
        <w:szCs w:val="24"/>
      </w:rPr>
      <w:tab/>
    </w:r>
    <w:r>
      <w:rPr>
        <w:rFonts w:ascii="Times New Roman" w:hAnsi="Times New Roman"/>
        <w:b w:val="0"/>
        <w:color w:val="FF0000"/>
        <w:sz w:val="26"/>
        <w:szCs w:val="26"/>
      </w:rPr>
      <w:t>Annex 4</w:t>
    </w:r>
  </w:p>
  <w:p w:rsidR="006178BC" w:rsidRDefault="00BC1C7B" w:rsidP="00FE7E75">
    <w:pPr>
      <w:pStyle w:val="Otsikko"/>
      <w:spacing w:after="0"/>
      <w:ind w:left="0"/>
      <w:rPr>
        <w:rFonts w:ascii="Times New Roman" w:hAnsi="Times New Roman"/>
        <w:b w:val="0"/>
        <w:sz w:val="14"/>
        <w:szCs w:val="14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214AA650" wp14:editId="47DB0475">
          <wp:simplePos x="0" y="0"/>
          <wp:positionH relativeFrom="column">
            <wp:posOffset>201295</wp:posOffset>
          </wp:positionH>
          <wp:positionV relativeFrom="paragraph">
            <wp:posOffset>160655</wp:posOffset>
          </wp:positionV>
          <wp:extent cx="694690" cy="694690"/>
          <wp:effectExtent l="0" t="0" r="0" b="0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42E8">
      <w:rPr>
        <w:b w:val="0"/>
        <w:noProof/>
        <w:lang w:val="fi-FI" w:eastAsia="fi-FI"/>
      </w:rPr>
      <w:drawing>
        <wp:inline distT="0" distB="0" distL="0" distR="0" wp14:anchorId="3846DB97" wp14:editId="1162F697">
          <wp:extent cx="925200" cy="615600"/>
          <wp:effectExtent l="19050" t="19050" r="27305" b="13335"/>
          <wp:docPr id="14" name="Kuva 14" descr="Flag_of_Euro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lag_of_Europ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7942E8">
      <w:rPr>
        <w:rFonts w:ascii="Calibri" w:hAnsi="Calibri"/>
        <w:b w:val="0"/>
        <w:noProof/>
        <w:sz w:val="24"/>
        <w:szCs w:val="24"/>
        <w:lang w:val="fi-FI" w:eastAsia="fi-FI"/>
      </w:rPr>
      <w:drawing>
        <wp:inline distT="0" distB="0" distL="0" distR="0" wp14:anchorId="1C9AC451" wp14:editId="786A1982">
          <wp:extent cx="1224000" cy="615600"/>
          <wp:effectExtent l="19050" t="19050" r="14605" b="13335"/>
          <wp:docPr id="17" name="Kuva 17" descr="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7942E8">
      <w:rPr>
        <w:rFonts w:ascii="Calibri" w:hAnsi="Calibri"/>
        <w:b w:val="0"/>
        <w:noProof/>
        <w:sz w:val="24"/>
        <w:szCs w:val="24"/>
        <w:lang w:val="fi-FI" w:eastAsia="fi-FI"/>
      </w:rPr>
      <w:drawing>
        <wp:inline distT="0" distB="0" distL="0" distR="0" wp14:anchorId="19619860" wp14:editId="501F5000">
          <wp:extent cx="1011600" cy="615600"/>
          <wp:effectExtent l="19050" t="19050" r="17145" b="13335"/>
          <wp:docPr id="16" name="Kuva 16" descr="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6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Pr="00055C1B">
      <w:rPr>
        <w:rFonts w:ascii="Calibri" w:hAnsi="Calibri"/>
        <w:b w:val="0"/>
        <w:noProof/>
        <w:sz w:val="24"/>
        <w:szCs w:val="24"/>
        <w:lang w:val="fi-FI" w:eastAsia="fi-FI"/>
      </w:rPr>
      <w:drawing>
        <wp:inline distT="0" distB="0" distL="0" distR="0" wp14:anchorId="5C4CE185" wp14:editId="0C749D23">
          <wp:extent cx="957600" cy="615600"/>
          <wp:effectExtent l="19050" t="19050" r="13970" b="13335"/>
          <wp:docPr id="15" name="Kuva 15" descr="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61560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FE7E75" w:rsidRPr="00FE7E75" w:rsidRDefault="00BC1C7B" w:rsidP="00FE7E75">
    <w:pPr>
      <w:spacing w:before="120"/>
      <w:rPr>
        <w:rFonts w:ascii="Times New Roman" w:hAnsi="Times New Roman"/>
        <w:color w:val="auto"/>
        <w:sz w:val="14"/>
        <w:szCs w:val="14"/>
        <w:lang w:val="en-US"/>
      </w:rPr>
    </w:pPr>
    <w:r>
      <w:rPr>
        <w:rFonts w:ascii="Times New Roman" w:hAnsi="Times New Roman"/>
        <w:color w:val="auto"/>
        <w:sz w:val="14"/>
        <w:szCs w:val="14"/>
        <w:lang w:val="en-US"/>
      </w:rPr>
      <w:t xml:space="preserve">        Funded by the 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7B"/>
    <w:rsid w:val="001D13BA"/>
    <w:rsid w:val="003F7922"/>
    <w:rsid w:val="00422CBF"/>
    <w:rsid w:val="004A5687"/>
    <w:rsid w:val="006567C9"/>
    <w:rsid w:val="006E6B5B"/>
    <w:rsid w:val="00733B50"/>
    <w:rsid w:val="007645FD"/>
    <w:rsid w:val="0079515A"/>
    <w:rsid w:val="00815EF2"/>
    <w:rsid w:val="00954D79"/>
    <w:rsid w:val="00AE7E96"/>
    <w:rsid w:val="00B05C96"/>
    <w:rsid w:val="00B15819"/>
    <w:rsid w:val="00BC1C7B"/>
    <w:rsid w:val="00C501F3"/>
    <w:rsid w:val="00C51EC4"/>
    <w:rsid w:val="00C71C7B"/>
    <w:rsid w:val="00DC551D"/>
    <w:rsid w:val="00E50574"/>
    <w:rsid w:val="00E725DB"/>
    <w:rsid w:val="00E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45740-599A-4225-84B5-1042804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C1C7B"/>
    <w:pPr>
      <w:spacing w:after="0" w:line="240" w:lineRule="auto"/>
    </w:pPr>
    <w:rPr>
      <w:rFonts w:ascii="Times New (W1)" w:eastAsia="Times New Roman" w:hAnsi="Times New (W1)" w:cs="Times New Roman"/>
      <w:color w:val="800000"/>
      <w:sz w:val="26"/>
      <w:szCs w:val="20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C1C7B"/>
    <w:pPr>
      <w:spacing w:before="240" w:after="60"/>
      <w:ind w:left="7921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00BC1C7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TaulukkoRuudukko">
    <w:name w:val="Table Grid"/>
    <w:basedOn w:val="Normaalitaulukko"/>
    <w:uiPriority w:val="39"/>
    <w:rsid w:val="00BC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502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TEM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Eerikki</dc:creator>
  <cp:keywords/>
  <dc:description/>
  <cp:lastModifiedBy>Kekäläinen Helka</cp:lastModifiedBy>
  <cp:revision>9</cp:revision>
  <dcterms:created xsi:type="dcterms:W3CDTF">2016-07-29T07:21:00Z</dcterms:created>
  <dcterms:modified xsi:type="dcterms:W3CDTF">2016-09-02T07:21:00Z</dcterms:modified>
</cp:coreProperties>
</file>